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6E45" w14:textId="11F4E016" w:rsidR="00363CDA" w:rsidRPr="004A7A7F" w:rsidRDefault="004A7A7F" w:rsidP="00CD2B24">
      <w:pPr>
        <w:spacing w:before="210" w:after="0" w:line="360" w:lineRule="auto"/>
        <w:jc w:val="both"/>
        <w:rPr>
          <w:b/>
          <w:bCs/>
          <w:sz w:val="28"/>
          <w:szCs w:val="28"/>
        </w:rPr>
      </w:pPr>
      <w:r>
        <w:rPr>
          <w:b/>
          <w:bCs/>
          <w:sz w:val="28"/>
          <w:szCs w:val="28"/>
        </w:rPr>
        <w:t>SUMMARIES OF MEPC 84 ON NZF</w:t>
      </w:r>
    </w:p>
    <w:p w14:paraId="7CBF0EA0" w14:textId="77777777" w:rsidR="00363CDA" w:rsidRPr="00737825" w:rsidRDefault="00000000" w:rsidP="00CD2B24">
      <w:pPr>
        <w:spacing w:before="315" w:after="105" w:line="360" w:lineRule="auto"/>
        <w:ind w:left="-30"/>
        <w:jc w:val="both"/>
        <w:rPr>
          <w:rFonts w:ascii="Times New Roman" w:hAnsi="Times New Roman" w:cs="Times New Roman"/>
          <w:sz w:val="22"/>
        </w:rPr>
      </w:pPr>
      <w:bookmarkStart w:id="0" w:name="mepc_84_7_27_intertanko_lng_carri_847b86"/>
      <w:r w:rsidRPr="00737825">
        <w:rPr>
          <w:rFonts w:ascii="Times New Roman" w:eastAsia="Georgia" w:hAnsi="Times New Roman" w:cs="Times New Roman"/>
          <w:b/>
          <w:color w:val="000000"/>
          <w:sz w:val="22"/>
        </w:rPr>
        <w:t>MEPC 84/7/27 – INTERTANKO (LNG carriers and WtT factors)</w:t>
      </w:r>
      <w:bookmarkEnd w:id="0"/>
    </w:p>
    <w:p w14:paraId="48A10DDB" w14:textId="140CC571"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This paper analyzes how different proposed default well‑to‑tank (WtT) emission factors for fossil LNG, under the 2024 IMO LCA Guidelines, affect LNG carrier compliance with the IMO Net‑Zero Framework. Using operational data from 139 LNG carriers (about 20% of the fleet) for 2023–2025, it shows that small changes in the assumed WtT factor can significantly alter the attained GHG Fuel Intensity (GFI), compliance status, and associated costs for these ships between 2028 and 2035. The document stresses that LNG carriers are a special case because they must manage naturally generated boil‑off gas (BOG) for safety reasons, and for much of the fleet the use of BOG as fuel is not discretionary but inherent in the design and safety regime.</w:t>
      </w:r>
      <w:bookmarkStart w:id="1" w:name="fnref1"/>
      <w:bookmarkEnd w:id="1"/>
      <w:r w:rsidR="00CD2B24" w:rsidRPr="00737825">
        <w:rPr>
          <w:rFonts w:ascii="Times New Roman" w:hAnsi="Times New Roman" w:cs="Times New Roman"/>
          <w:sz w:val="22"/>
        </w:rPr>
        <w:t xml:space="preserve"> </w:t>
      </w:r>
    </w:p>
    <w:p w14:paraId="659D5C9A" w14:textId="4771DD0E"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paper explains that different BOG management options (venting, gas combustion units, steam dumping, use as fuel, or re‑liquefaction) have very different energy‑efficiency outcomes, and that most existing ships lack full re‑liquefaction capacity and therefore rely heavily on BOG as fuel. The authors construct a representative operational baseline by propulsion type (DFDE, steam, 2‑stroke HP/LP gas injection) and then apply four alternative LNG WtT factors that are currently on the table (around 14–33 g</w:t>
      </w:r>
      <w:r w:rsidR="00CD2B24" w:rsidRPr="00737825">
        <w:rPr>
          <w:rFonts w:ascii="Times New Roman" w:eastAsia="Georgia" w:hAnsi="Times New Roman" w:cs="Times New Roman"/>
          <w:color w:val="000000"/>
          <w:sz w:val="22"/>
        </w:rPr>
        <w:t xml:space="preserve"> </w:t>
      </w:r>
      <w:r w:rsidR="00D11361" w:rsidRPr="00737825">
        <w:rPr>
          <w:rFonts w:ascii="Times New Roman" w:eastAsia="Georgia" w:hAnsi="Times New Roman" w:cs="Times New Roman"/>
          <w:color w:val="000000"/>
          <w:sz w:val="22"/>
        </w:rPr>
        <w:t>CO₂e</w:t>
      </w:r>
      <w:r w:rsidR="00CD2B24" w:rsidRPr="00737825">
        <w:rPr>
          <w:rFonts w:ascii="Times New Roman" w:eastAsia="Georgia" w:hAnsi="Times New Roman" w:cs="Times New Roman"/>
          <w:color w:val="000000"/>
          <w:sz w:val="22"/>
        </w:rPr>
        <w:t xml:space="preserve"> </w:t>
      </w:r>
      <w:r w:rsidRPr="00737825">
        <w:rPr>
          <w:rFonts w:ascii="Times New Roman" w:eastAsia="Georgia" w:hAnsi="Times New Roman" w:cs="Times New Roman"/>
          <w:color w:val="000000"/>
          <w:sz w:val="22"/>
        </w:rPr>
        <w:t>/MJ) to see how many ships fall into direct compliance and what deficits arise. Lower WtT values (around 14–15 g</w:t>
      </w:r>
      <w:r w:rsidR="00CD2B24" w:rsidRPr="00737825">
        <w:rPr>
          <w:rFonts w:ascii="Times New Roman" w:eastAsia="Georgia" w:hAnsi="Times New Roman" w:cs="Times New Roman"/>
          <w:color w:val="000000"/>
          <w:sz w:val="22"/>
        </w:rPr>
        <w:t xml:space="preserve"> </w:t>
      </w:r>
      <w:r w:rsidR="00D11361" w:rsidRPr="00737825">
        <w:rPr>
          <w:rFonts w:ascii="Times New Roman" w:eastAsia="Georgia" w:hAnsi="Times New Roman" w:cs="Times New Roman"/>
          <w:color w:val="000000"/>
          <w:sz w:val="22"/>
        </w:rPr>
        <w:t>CO₂e</w:t>
      </w:r>
      <w:r w:rsidR="00CD2B24" w:rsidRPr="00737825">
        <w:rPr>
          <w:rFonts w:ascii="Times New Roman" w:eastAsia="Georgia" w:hAnsi="Times New Roman" w:cs="Times New Roman"/>
          <w:color w:val="000000"/>
          <w:sz w:val="22"/>
        </w:rPr>
        <w:t xml:space="preserve"> </w:t>
      </w:r>
      <w:r w:rsidRPr="00737825">
        <w:rPr>
          <w:rFonts w:ascii="Times New Roman" w:eastAsia="Georgia" w:hAnsi="Times New Roman" w:cs="Times New Roman"/>
          <w:color w:val="000000"/>
          <w:sz w:val="22"/>
        </w:rPr>
        <w:t>/MJ) increase the share of ships in direct compliance and reduce aggregate and per‑ship deficits compared with higher WtT values (e.g. 33 g</w:t>
      </w:r>
      <w:r w:rsidR="00CD2B24" w:rsidRPr="00737825">
        <w:rPr>
          <w:rFonts w:ascii="Times New Roman" w:eastAsia="Georgia" w:hAnsi="Times New Roman" w:cs="Times New Roman"/>
          <w:color w:val="000000"/>
          <w:sz w:val="22"/>
        </w:rPr>
        <w:t xml:space="preserve">  </w:t>
      </w:r>
      <w:r w:rsidR="00D11361" w:rsidRPr="00737825">
        <w:rPr>
          <w:rFonts w:ascii="Times New Roman" w:eastAsia="Georgia" w:hAnsi="Times New Roman" w:cs="Times New Roman"/>
          <w:color w:val="000000"/>
          <w:sz w:val="22"/>
        </w:rPr>
        <w:t>CO₂e</w:t>
      </w:r>
      <w:r w:rsidR="00CD2B24" w:rsidRPr="00737825">
        <w:rPr>
          <w:rFonts w:ascii="Times New Roman" w:eastAsia="Georgia" w:hAnsi="Times New Roman" w:cs="Times New Roman"/>
          <w:color w:val="000000"/>
          <w:sz w:val="22"/>
        </w:rPr>
        <w:t xml:space="preserve"> </w:t>
      </w:r>
      <w:r w:rsidRPr="00737825">
        <w:rPr>
          <w:rFonts w:ascii="Times New Roman" w:eastAsia="Georgia" w:hAnsi="Times New Roman" w:cs="Times New Roman"/>
          <w:color w:val="000000"/>
          <w:sz w:val="22"/>
        </w:rPr>
        <w:t>/MJ), which can push all ships into deficit from the outset.</w:t>
      </w:r>
      <w:bookmarkStart w:id="2" w:name="fnref1_1"/>
      <w:bookmarkEnd w:id="2"/>
      <w:r w:rsidR="00CD2B24" w:rsidRPr="00737825">
        <w:rPr>
          <w:rFonts w:ascii="Times New Roman" w:hAnsi="Times New Roman" w:cs="Times New Roman"/>
          <w:sz w:val="22"/>
        </w:rPr>
        <w:t xml:space="preserve"> </w:t>
      </w:r>
    </w:p>
    <w:p w14:paraId="60F67C2D" w14:textId="56622E41"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Tables show, for each WtT case and year (2028–2035), the percentage of ships directly compliant, total fleet compliance deficit (in USD), and average deficit per non‑compliant ship, assuming a given GHG price schedule. For example, under a mid‑range WtT of 17.5 g</w:t>
      </w:r>
      <w:r w:rsidR="00D11361" w:rsidRPr="00737825">
        <w:rPr>
          <w:rFonts w:ascii="Times New Roman" w:eastAsia="Georgia" w:hAnsi="Times New Roman" w:cs="Times New Roman"/>
          <w:color w:val="000000"/>
          <w:sz w:val="22"/>
        </w:rPr>
        <w:t xml:space="preserve"> </w:t>
      </w:r>
      <w:r w:rsidRPr="00737825">
        <w:rPr>
          <w:rFonts w:ascii="Times New Roman" w:eastAsia="Georgia" w:hAnsi="Times New Roman" w:cs="Times New Roman"/>
          <w:color w:val="000000"/>
          <w:sz w:val="22"/>
        </w:rPr>
        <w:t>CO₂eq</w:t>
      </w:r>
      <w:r w:rsidR="00D11361" w:rsidRPr="00737825">
        <w:rPr>
          <w:rFonts w:ascii="Times New Roman" w:eastAsia="Georgia" w:hAnsi="Times New Roman" w:cs="Times New Roman"/>
          <w:color w:val="000000"/>
          <w:sz w:val="22"/>
        </w:rPr>
        <w:t xml:space="preserve"> </w:t>
      </w:r>
      <w:r w:rsidRPr="00737825">
        <w:rPr>
          <w:rFonts w:ascii="Times New Roman" w:eastAsia="Georgia" w:hAnsi="Times New Roman" w:cs="Times New Roman"/>
          <w:color w:val="000000"/>
          <w:sz w:val="22"/>
        </w:rPr>
        <w:t>/MJ, around 22–5% of the fleet is directly compliant in 2028–2029 but none thereafter, while aggregate annual deficits quickly reach the high hundreds of millions of dollars; under 33 g</w:t>
      </w:r>
      <w:r w:rsidR="00CD2B24" w:rsidRPr="00737825">
        <w:rPr>
          <w:rFonts w:ascii="Times New Roman" w:eastAsia="Georgia" w:hAnsi="Times New Roman" w:cs="Times New Roman"/>
          <w:color w:val="000000"/>
          <w:sz w:val="22"/>
        </w:rPr>
        <w:t xml:space="preserve"> </w:t>
      </w:r>
      <w:r w:rsidRPr="00737825">
        <w:rPr>
          <w:rFonts w:ascii="Times New Roman" w:eastAsia="Georgia" w:hAnsi="Times New Roman" w:cs="Times New Roman"/>
          <w:color w:val="000000"/>
          <w:sz w:val="22"/>
        </w:rPr>
        <w:t>CO₂eq</w:t>
      </w:r>
      <w:r w:rsidR="00CD2B24" w:rsidRPr="00737825">
        <w:rPr>
          <w:rFonts w:ascii="Times New Roman" w:eastAsia="Georgia" w:hAnsi="Times New Roman" w:cs="Times New Roman"/>
          <w:color w:val="000000"/>
          <w:sz w:val="22"/>
        </w:rPr>
        <w:t xml:space="preserve"> </w:t>
      </w:r>
      <w:r w:rsidRPr="00737825">
        <w:rPr>
          <w:rFonts w:ascii="Times New Roman" w:eastAsia="Georgia" w:hAnsi="Times New Roman" w:cs="Times New Roman"/>
          <w:color w:val="000000"/>
          <w:sz w:val="22"/>
        </w:rPr>
        <w:t>/MJ, no ships are ever directly compliant and deficits exceed USD 3 billion by 2035. The submission does not argue for a specific WtT value but urges the Committee to recognize how sensitive LNG carriers are to upstream assumptions, given that they both consume LNG and transport it within the same supply chain segment covered by the WtT boundary. It suggests that the choice between default and certified actual WtT values could materially affect compliance fairness for this ship type.</w:t>
      </w:r>
      <w:bookmarkStart w:id="3" w:name="fnref1_2"/>
      <w:bookmarkEnd w:id="3"/>
      <w:r w:rsidR="004A7A7F" w:rsidRPr="00737825">
        <w:rPr>
          <w:rFonts w:ascii="Times New Roman" w:hAnsi="Times New Roman" w:cs="Times New Roman"/>
          <w:sz w:val="22"/>
        </w:rPr>
        <w:t xml:space="preserve"> </w:t>
      </w:r>
    </w:p>
    <w:p w14:paraId="79C14C80" w14:textId="77777777" w:rsidR="00363CDA" w:rsidRPr="00737825" w:rsidRDefault="00000000" w:rsidP="00CD2B24">
      <w:pPr>
        <w:spacing w:before="315" w:after="105" w:line="360" w:lineRule="auto"/>
        <w:ind w:left="-30"/>
        <w:jc w:val="both"/>
        <w:rPr>
          <w:rFonts w:ascii="Times New Roman" w:hAnsi="Times New Roman" w:cs="Times New Roman"/>
          <w:sz w:val="22"/>
        </w:rPr>
      </w:pPr>
      <w:bookmarkStart w:id="4" w:name="mepc_84_7_28_fiji_kiribati_nauru_5f11ed"/>
      <w:r w:rsidRPr="00737825">
        <w:rPr>
          <w:rFonts w:ascii="Times New Roman" w:eastAsia="Georgia" w:hAnsi="Times New Roman" w:cs="Times New Roman"/>
          <w:b/>
          <w:color w:val="000000"/>
          <w:sz w:val="22"/>
        </w:rPr>
        <w:t>MEPC 84/7/28 – Fiji, Kiribati, Nauru, Palau, Solomon Islands, Tuvalu, Vanuatu</w:t>
      </w:r>
      <w:bookmarkEnd w:id="4"/>
    </w:p>
    <w:p w14:paraId="07A0D199" w14:textId="300D1BB8"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 xml:space="preserve">This paper, from highly climate‑vulnerable Pacific States, argues that the one‑year adjournment of MEPC/ES.2 threatens the timelines and pathways of the 2023 IMO GHG Strategy and that the IMO Net‑Zero Framework, although imperfect and not fully 1.5°C‑aligned, is a “fragile compromise” that must now be adopted essentially unchanged. They recall that the Strategy’s time schedule is designed around the needs of </w:t>
      </w:r>
      <w:r w:rsidRPr="00737825">
        <w:rPr>
          <w:rFonts w:ascii="Times New Roman" w:eastAsia="Georgia" w:hAnsi="Times New Roman" w:cs="Times New Roman"/>
          <w:color w:val="000000"/>
          <w:sz w:val="22"/>
        </w:rPr>
        <w:lastRenderedPageBreak/>
        <w:t>the most vulnerable and that delay in adopting mid‑term measures risks shipping failing to deliver its fair share of global decarbonization</w:t>
      </w:r>
      <w:r w:rsidR="00CD2B24" w:rsidRPr="00737825">
        <w:rPr>
          <w:rFonts w:ascii="Times New Roman" w:eastAsia="Georgia" w:hAnsi="Times New Roman" w:cs="Times New Roman"/>
          <w:color w:val="000000"/>
          <w:sz w:val="22"/>
        </w:rPr>
        <w:t>.</w:t>
      </w:r>
    </w:p>
    <w:p w14:paraId="3F95A13D" w14:textId="719892F3"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co‑sponsors describe how negotiations before MEPC 83 were polarized between states pushing a universal GHG levy and states opposed to any levy, and note that the current basket (technical fuel‑intensity standard plus economic element) was only achieved after extensive, difficult compromise. They stress that, in their own analysis (ISWG‑GHG 20/INF.5), the IMO Net‑Zero Framework is less ambitious than a 1.5°C‑consistent pathway and even falls short of the ambition implied in the 2023 Strategy itself, which initially prevented them from supporting it at MEPC 83. Nevertheless, they ultimately accepted the framework as the only politically viable way to create a timely global measure that can both drive decarbonization and generate revenues to support a just and equitable transition, provided there is scope to strengthen it later via reviews and guidelines and to embed robust revenue‑disbursement provisions in draft regulation 41.</w:t>
      </w:r>
      <w:bookmarkStart w:id="5" w:name="fnref2_1"/>
      <w:bookmarkEnd w:id="5"/>
      <w:r w:rsidR="00CD2B24" w:rsidRPr="00737825">
        <w:rPr>
          <w:rFonts w:ascii="Times New Roman" w:hAnsi="Times New Roman" w:cs="Times New Roman"/>
          <w:sz w:val="22"/>
        </w:rPr>
        <w:t xml:space="preserve"> </w:t>
      </w:r>
    </w:p>
    <w:p w14:paraId="6A578603" w14:textId="5FFEEA25"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document strongly opposes reopening the Net‑Zero text for substantive changes, warning that further compromise would undermine the integrity of the framework and likely collapse the entire political deal by returning negotiations to the pre‑MEPC 83 stalemate. They explicitly reject proposals to remove the economic element, weaken compliance (e.g. removing “direct compliance” targets), make the system voluntary initially, or adopt the framework in phases, arguing that each of these would either gut the incentive structure or create an uneven transition that leaves developing countries behind. The paper also calls for urgent strengthening of the existing short‑term measures, particularly CII, during Phase 2 of the review, to deliver absolute emissions reductions this decade and to mitigate the impact of delayed mid‑term measures. Finally, they state that if others insist on reopening the text, they will regard the MEPC 83 decision as void and will revert to advocating a global GHG levy as the best, science‑based, 1.5°C‑aligned and equitable solution</w:t>
      </w:r>
      <w:bookmarkStart w:id="6" w:name="fnref2_2"/>
      <w:bookmarkEnd w:id="6"/>
      <w:r w:rsidR="00CD2B24" w:rsidRPr="00737825">
        <w:rPr>
          <w:rFonts w:ascii="Times New Roman" w:eastAsia="Georgia" w:hAnsi="Times New Roman" w:cs="Times New Roman"/>
          <w:color w:val="000000"/>
          <w:sz w:val="22"/>
        </w:rPr>
        <w:t>.</w:t>
      </w:r>
    </w:p>
    <w:p w14:paraId="01C1EDCE" w14:textId="77777777" w:rsidR="00363CDA" w:rsidRPr="00737825" w:rsidRDefault="00000000" w:rsidP="00737825">
      <w:pPr>
        <w:spacing w:before="315" w:after="0" w:line="360" w:lineRule="auto"/>
        <w:ind w:left="-30"/>
        <w:jc w:val="both"/>
        <w:rPr>
          <w:rFonts w:ascii="Times New Roman" w:hAnsi="Times New Roman" w:cs="Times New Roman"/>
          <w:sz w:val="22"/>
        </w:rPr>
      </w:pPr>
      <w:bookmarkStart w:id="7" w:name="mepc_84_7_30_algeria_bahrain_iraq_7e477e"/>
      <w:r w:rsidRPr="00737825">
        <w:rPr>
          <w:rFonts w:ascii="Times New Roman" w:eastAsia="Georgia" w:hAnsi="Times New Roman" w:cs="Times New Roman"/>
          <w:b/>
          <w:color w:val="000000"/>
          <w:sz w:val="22"/>
        </w:rPr>
        <w:t>MEPC 84/7/30 – Algeria, Bahrain, Iraq, Kuwait, Russian Federation, Saudi Arabia, Somalia, UAE</w:t>
      </w:r>
      <w:bookmarkEnd w:id="7"/>
    </w:p>
    <w:p w14:paraId="07CCB069" w14:textId="0AE6DC5C"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This submission proposes a set of “guiding principles” for an alternative IMO Net‑Zero Framework that could command broader consensus, explicitly challenging the wisdom of proceeding with the currently drafted framework. It recalls that at MEPC/ES.2 in October 2025 many states abstained in the vote and supported adjournment, and that use of the tacit acceptance procedure was unacceptable to a majority, many of whom preferred explicit acceptance as outlined in a U.S. paper. The co‑sponsors argue that adopting the current draft before adequate technical maturity, operational readiness and political convergence are achieved would jeopardize effective, globally uniform implementation and undermine confidence.</w:t>
      </w:r>
      <w:bookmarkStart w:id="8" w:name="fnref3"/>
      <w:bookmarkEnd w:id="8"/>
      <w:r w:rsidR="00CD2B24" w:rsidRPr="00737825">
        <w:rPr>
          <w:rFonts w:ascii="Times New Roman" w:hAnsi="Times New Roman" w:cs="Times New Roman"/>
          <w:sz w:val="22"/>
        </w:rPr>
        <w:t xml:space="preserve"> </w:t>
      </w:r>
    </w:p>
    <w:p w14:paraId="529864F1" w14:textId="23FB1B80"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 xml:space="preserve">They then set out a series of principles they believe should underpin any framework. First, any measure must both facilitate net‑zero emissions by or around mid‑century and safeguard international trade, food and energy security, and economic development, with decisions based on consensus and multilateral cooperation </w:t>
      </w:r>
      <w:r w:rsidRPr="00737825">
        <w:rPr>
          <w:rFonts w:ascii="Times New Roman" w:eastAsia="Georgia" w:hAnsi="Times New Roman" w:cs="Times New Roman"/>
          <w:color w:val="000000"/>
          <w:sz w:val="22"/>
        </w:rPr>
        <w:lastRenderedPageBreak/>
        <w:t>rather than punitive approaches. Second, quantitative parameters must not be arbitrary; targets, trajectories, and design features should be evidence‑based, reflecting fuel/technology maturity, availability, and the diverse circumstances of Member States, especially developing countries. The framework should not penalize existing or future investments or compromise national security related to critical resources, and benefits must be fairly shared rather than accruing disproportionately to a few states or firms.</w:t>
      </w:r>
      <w:bookmarkStart w:id="9" w:name="fnref3_1"/>
      <w:bookmarkEnd w:id="9"/>
      <w:r w:rsidR="00CD2B24" w:rsidRPr="00737825">
        <w:rPr>
          <w:rFonts w:ascii="Times New Roman" w:hAnsi="Times New Roman" w:cs="Times New Roman"/>
          <w:sz w:val="22"/>
        </w:rPr>
        <w:t xml:space="preserve"> </w:t>
      </w:r>
    </w:p>
    <w:p w14:paraId="3B65563F" w14:textId="6C8C2259"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paper emphasizes a technology‑agnostic, comprehensive approach that allows all credible emissions‑reduction options, including retrofits and innovative technologies, without targeting specific fuels or pathways, and that permits companies to choose context‑appropriate solutions. It calls for full recognition of differing stages of development and of common but differentiated responsibilities and respective capabilities (CBDR‑RC), referencing the UNFCCC and Paris Agreement language mirrored in the 2023 IMO Strategy, and argues against top‑down restrictions or international penalties that could undermine agreed climate regimes. Importantly, the co‑sponsors argue the framework should not include centrally determined market elements such as fixed/administered carbon prices, nor mechanisms that shift burdens onto consumers beyond the Committee’s representational remit. They underline the importance of predictability and political acceptability, warning that sudden or opaque financial burdens will not be sustainable domestically, and conclude by inviting the Committee to acknowledge that the current draft does not enjoy consensus and to use these principles to shape viable alternatives.</w:t>
      </w:r>
      <w:bookmarkStart w:id="10" w:name="fnref3_2"/>
      <w:bookmarkEnd w:id="10"/>
      <w:r w:rsidR="00CD2B24" w:rsidRPr="00737825">
        <w:rPr>
          <w:rFonts w:ascii="Times New Roman" w:hAnsi="Times New Roman" w:cs="Times New Roman"/>
          <w:sz w:val="22"/>
        </w:rPr>
        <w:t xml:space="preserve"> </w:t>
      </w:r>
    </w:p>
    <w:p w14:paraId="5CB9AB59" w14:textId="77777777" w:rsidR="00363CDA" w:rsidRPr="00737825" w:rsidRDefault="00000000" w:rsidP="00737825">
      <w:pPr>
        <w:spacing w:before="315" w:after="0" w:line="360" w:lineRule="auto"/>
        <w:ind w:left="-30"/>
        <w:jc w:val="both"/>
        <w:rPr>
          <w:rFonts w:ascii="Times New Roman" w:hAnsi="Times New Roman" w:cs="Times New Roman"/>
          <w:sz w:val="22"/>
        </w:rPr>
      </w:pPr>
      <w:bookmarkStart w:id="11" w:name="mepc_84_7_34_mexico_and_solomon_islands"/>
      <w:r w:rsidRPr="00737825">
        <w:rPr>
          <w:rFonts w:ascii="Times New Roman" w:eastAsia="Georgia" w:hAnsi="Times New Roman" w:cs="Times New Roman"/>
          <w:b/>
          <w:color w:val="000000"/>
          <w:sz w:val="22"/>
        </w:rPr>
        <w:t>MEPC 84/7/34 – Mexico and Solomon Islands</w:t>
      </w:r>
      <w:bookmarkEnd w:id="11"/>
    </w:p>
    <w:p w14:paraId="59EF5038" w14:textId="0BAA4BDB"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This paper supports resuming the adoption of the existing IMO Net‑Zero Framework and calls for restoring the second extraordinary MEPC session (MEPC/ES.2) in connection with MEPC 85 so that the framework can be adopted in 2026 with updated dates. The co‑sponsors recall the unanimous adoption of the 2023 IMO GHG Strategy at MEPC 80, including its call for a basket of mid‑term measures (technical fuel‑standard plus economic pricing element) that should drive the energy transition, provide fleet‑wide incentives, and ensure a level playing field and a just and equitable transition. They note that MEPC 83 already approved the Net‑Zero Framework amendments to MARPOL Annex VI, but that adoption was delayed by the adjournment of MEPC/ES.2.</w:t>
      </w:r>
      <w:bookmarkStart w:id="12" w:name="fnref4"/>
      <w:bookmarkEnd w:id="12"/>
      <w:r w:rsidR="00CD2B24" w:rsidRPr="00737825">
        <w:rPr>
          <w:rFonts w:ascii="Times New Roman" w:hAnsi="Times New Roman" w:cs="Times New Roman"/>
          <w:sz w:val="22"/>
        </w:rPr>
        <w:t xml:space="preserve"> </w:t>
      </w:r>
    </w:p>
    <w:p w14:paraId="4CE55AD8" w14:textId="116769A4"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paper portrays the framework as a “living measure” that will be refined over time and argues that consensus can be found within its existing architecture via further work on guidelines and provisions, rather than by re‑opening the core text. They highlight progress since the adjournment on implementation workstreams—guidelines for GFI calculation and verification, ZNZ rewards and methodologies, LCA implementation, sustainable fuel certification, and design of the IMO Net‑Zero Fund—and argue that the remaining time to autumn 2026 should be used constructively to build confidence that the package can: (1) deliver feasible GHG reductions, (2) address disproportionately negative state impacts and support a just, equitable transition, and (3) be adopted and implemented smoothly and on time.</w:t>
      </w:r>
      <w:bookmarkStart w:id="13" w:name="fnref4_1"/>
      <w:bookmarkEnd w:id="13"/>
      <w:r w:rsidR="00CD2B24" w:rsidRPr="00737825">
        <w:rPr>
          <w:rFonts w:ascii="Times New Roman" w:hAnsi="Times New Roman" w:cs="Times New Roman"/>
          <w:sz w:val="22"/>
        </w:rPr>
        <w:t xml:space="preserve"> </w:t>
      </w:r>
    </w:p>
    <w:p w14:paraId="15DAFCE5" w14:textId="25D4D74E"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lastRenderedPageBreak/>
        <w:t>On feasibility, they cite multiple analyses for IMO, Member States, industry and NGOs indicating that the framework’s emissions‑reduction trajectory is achievable, and emphasize the ZNZ reward mechanism as a pathway to scale zero/near‑zero fuels through strong investment signals. They note that many large ZNZ projects are effectively waiting on adoption of the framework to reach final investment decisions, seeing this as evidence of market confidence in IMO’s ability to create a global demand signal. The submission stresses that the framework does not ban any fuels and that compliance routes are for operators to choose.</w:t>
      </w:r>
      <w:bookmarkStart w:id="14" w:name="fnref4_2"/>
      <w:bookmarkEnd w:id="14"/>
      <w:r w:rsidR="00CD2B24" w:rsidRPr="00737825">
        <w:rPr>
          <w:rFonts w:ascii="Times New Roman" w:hAnsi="Times New Roman" w:cs="Times New Roman"/>
          <w:sz w:val="22"/>
        </w:rPr>
        <w:t xml:space="preserve"> </w:t>
      </w:r>
    </w:p>
    <w:p w14:paraId="0D248A4D" w14:textId="53E4C877"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On equity, they acknowledge that shipping cost pass‑through could create disproportionate impacts on some developing countries, especially re food security, but point out that the framework includes provisions to monitor and address such impacts and that the Net‑Zero Fund is designed precisely to channel revenues to mitigate negative impacts and support resilience, especially for SIDS and LDCs. They argue that MARPOL and IMO’s financial rules can accommodate such a fund and emphasize that only a global GHG pricing mechanism can ensure a genuinely just and equitable transition</w:t>
      </w:r>
      <w:r w:rsidR="00CD2B24" w:rsidRPr="00737825">
        <w:rPr>
          <w:rFonts w:ascii="Times New Roman" w:eastAsia="Georgia" w:hAnsi="Times New Roman" w:cs="Times New Roman"/>
          <w:color w:val="000000"/>
          <w:sz w:val="22"/>
        </w:rPr>
        <w:t>.</w:t>
      </w:r>
    </w:p>
    <w:p w14:paraId="4DDA6CC9" w14:textId="000DEF83" w:rsidR="00363CDA" w:rsidRPr="00737825" w:rsidRDefault="00000000" w:rsidP="004A7A7F">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On process, the paper recalls that a draft work plan to prepare for entry into force was already agreed at MEPC/ES.2 and, with date adjustments, remains a viable roadmap for implementation in time for entry into force in 2028 and effect from 1 January 2029. They suggest rescheduling MEPC/ES.2 and MEPC 85 to avoid overlap with UNFCCC COP31 and invite the Committee to: (1) adjust the framework dates for a 2029 start, (2) further develop the necessary guidelines and provisions in line with the work plan, and (3) resume MEPC/ES.2 alongside MEPC 85 to complete adoption</w:t>
      </w:r>
      <w:r w:rsidR="00CD2B24" w:rsidRPr="00737825">
        <w:rPr>
          <w:rFonts w:ascii="Times New Roman" w:eastAsia="Georgia" w:hAnsi="Times New Roman" w:cs="Times New Roman"/>
          <w:color w:val="000000"/>
          <w:sz w:val="22"/>
        </w:rPr>
        <w:t>.</w:t>
      </w:r>
    </w:p>
    <w:p w14:paraId="518405B4" w14:textId="77777777" w:rsidR="00363CDA" w:rsidRPr="00737825" w:rsidRDefault="00000000" w:rsidP="004A7A7F">
      <w:pPr>
        <w:spacing w:before="315" w:after="0" w:line="360" w:lineRule="auto"/>
        <w:ind w:left="-30"/>
        <w:jc w:val="both"/>
        <w:rPr>
          <w:rFonts w:ascii="Times New Roman" w:hAnsi="Times New Roman" w:cs="Times New Roman"/>
          <w:sz w:val="22"/>
        </w:rPr>
      </w:pPr>
      <w:bookmarkStart w:id="15" w:name="mepc_84_7_37_brazil"/>
      <w:r w:rsidRPr="00737825">
        <w:rPr>
          <w:rFonts w:ascii="Times New Roman" w:eastAsia="Georgia" w:hAnsi="Times New Roman" w:cs="Times New Roman"/>
          <w:b/>
          <w:color w:val="000000"/>
          <w:sz w:val="22"/>
        </w:rPr>
        <w:t>MEPC 84/7/37 – Brazil</w:t>
      </w:r>
      <w:bookmarkEnd w:id="15"/>
    </w:p>
    <w:p w14:paraId="50DBB4F0" w14:textId="6D1F02EB"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Brazil’s paper focuses on how to “find consensus” for adoption of mid‑term GHG measures, emphasizing trust‑building, clarity about what the IMO Net‑Zero Framework does and does not do, and constructing a realistic package for adoption in 2026. It recalls that the 2023 Strategy mandated a basket consisting of a goal‑based marine fuel standard plus an economic pricing element and that the Net‑Zero Framework was negotiated precisely to fulfill this mandate while minimizing negative impacts and fostering a just, equitable transition.</w:t>
      </w:r>
      <w:bookmarkStart w:id="16" w:name="fnref5"/>
      <w:bookmarkEnd w:id="16"/>
      <w:r w:rsidR="00CD2B24" w:rsidRPr="00737825">
        <w:rPr>
          <w:rFonts w:ascii="Times New Roman" w:hAnsi="Times New Roman" w:cs="Times New Roman"/>
          <w:sz w:val="22"/>
        </w:rPr>
        <w:t xml:space="preserve"> </w:t>
      </w:r>
    </w:p>
    <w:p w14:paraId="17B94045" w14:textId="09689940"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Brazil notes that although the framework was approved at MEPC 83, adoption was delayed at MEPC/ES.2 due to outstanding concerns and that some Member States still misunderstand key aspects. To “enhance clarity”, the paper suggests explicitly communicating that: (a) the architecture represents a realistic pathway to fully implement the 2023 Strategy; (b) a single global measure is the only credible way to avoid a patchwork of national/regional regimes, which could increase costs and welfare losses; and (c) re‑opening negotiations risks reproducing similar or inferior outcomes after lengthy talks while regional measures become entrenched.</w:t>
      </w:r>
      <w:bookmarkStart w:id="17" w:name="fnref5_1"/>
      <w:bookmarkEnd w:id="17"/>
      <w:r w:rsidR="00CD2B24" w:rsidRPr="00737825">
        <w:rPr>
          <w:rFonts w:ascii="Times New Roman" w:hAnsi="Times New Roman" w:cs="Times New Roman"/>
          <w:sz w:val="22"/>
        </w:rPr>
        <w:t xml:space="preserve"> </w:t>
      </w:r>
    </w:p>
    <w:p w14:paraId="38E34BD1" w14:textId="044734C3"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 xml:space="preserve">Brazil also tackles concerns that the framework is a “global tax”, explaining that the economic element is one route among several for compliance and that acquiring remedial units is optional—operators can instead </w:t>
      </w:r>
      <w:r w:rsidRPr="00737825">
        <w:rPr>
          <w:rFonts w:ascii="Times New Roman" w:eastAsia="Georgia" w:hAnsi="Times New Roman" w:cs="Times New Roman"/>
          <w:color w:val="000000"/>
          <w:sz w:val="22"/>
        </w:rPr>
        <w:lastRenderedPageBreak/>
        <w:t>invest in cleaner fuels/technologies to meet GFI targets directly—so the system functions as a flexible regulatory incentive, not an across‑the‑board mandatory tax. It reiterates that the framework is technology‑neutral, does not exclude fuels a priori (including fossil, LNG, biofuels, e‑fuels, ammonia, etc.), and should accommodate combinations of fuels and technologies such as wind assistance or onboard CCS, thereby allowing continued use of existing fuels if overall GFI targets and sustainability criteria are met</w:t>
      </w:r>
      <w:r w:rsidR="00CD2B24" w:rsidRPr="00737825">
        <w:rPr>
          <w:rFonts w:ascii="Times New Roman" w:eastAsia="Georgia" w:hAnsi="Times New Roman" w:cs="Times New Roman"/>
          <w:color w:val="000000"/>
          <w:sz w:val="22"/>
        </w:rPr>
        <w:t>.</w:t>
      </w:r>
    </w:p>
    <w:p w14:paraId="02E065F9" w14:textId="1739A0A7" w:rsidR="00363CDA" w:rsidRPr="00737825" w:rsidRDefault="00000000" w:rsidP="004A7A7F">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To “build a package for consensus”, Brazil proposes coupling the MARPOL Annex VI amendments (with necessary date adjustments and only genuinely justified, non‑structural tweaks) with a prioritized set of guidelines on: GFI calculation and ZNZ rewards, monitoring/mitigating food‑security and disproportionate impacts, governance and auditing of the Net‑Zero Fund, and regulation of sustainable fuel certification schemes. It suggests convening an ISWG‑GHG meeting in September to work on these points and then using MEPC 85—preceded by another ISWG‑GHG session—to adopt the framework and guidelines, while avoiding schedule clashes with COP31. Brazil also floats pre‑agreements that tacit acceptance should remain the default IMO procedure and that, if major divisions persist, discussions should be postponed without altering the text approved at MEPC 83, as a way to maintain stability and trust in the process.</w:t>
      </w:r>
      <w:bookmarkStart w:id="18" w:name="fnref5_3"/>
      <w:bookmarkEnd w:id="18"/>
      <w:r w:rsidR="00CD2B24" w:rsidRPr="00737825">
        <w:rPr>
          <w:rFonts w:ascii="Times New Roman" w:hAnsi="Times New Roman" w:cs="Times New Roman"/>
          <w:sz w:val="22"/>
        </w:rPr>
        <w:t xml:space="preserve"> </w:t>
      </w:r>
    </w:p>
    <w:p w14:paraId="317C9BC4" w14:textId="77777777" w:rsidR="00363CDA" w:rsidRPr="00737825" w:rsidRDefault="00000000" w:rsidP="004A7A7F">
      <w:pPr>
        <w:spacing w:after="105" w:line="360" w:lineRule="auto"/>
        <w:ind w:left="-30"/>
        <w:jc w:val="both"/>
        <w:rPr>
          <w:rFonts w:ascii="Times New Roman" w:hAnsi="Times New Roman" w:cs="Times New Roman"/>
          <w:sz w:val="22"/>
        </w:rPr>
      </w:pPr>
      <w:bookmarkStart w:id="19" w:name="mepc_84_7_38_argentina_liberia_panama"/>
      <w:r w:rsidRPr="00737825">
        <w:rPr>
          <w:rFonts w:ascii="Times New Roman" w:eastAsia="Georgia" w:hAnsi="Times New Roman" w:cs="Times New Roman"/>
          <w:b/>
          <w:color w:val="000000"/>
          <w:sz w:val="22"/>
        </w:rPr>
        <w:t>MEPC 84/7/38 – Argentina, Liberia, Panama</w:t>
      </w:r>
      <w:bookmarkEnd w:id="19"/>
    </w:p>
    <w:p w14:paraId="14707B75" w14:textId="39BBA3DD"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This paper critiques the current Net‑Zero Framework and proposes an alternative “pragmatic” approach to GHG reduction that replaces it with a GFI‑based mechanism whose ambition is dynamically linked to real‑world market readiness of low‑carbon fuels. It recalls that MEPC 83 approved the framework and that MEPC/ES.2 failed to reach consensus due to concerns over compliance costs, administrative burdens, financial implications, and strong opposition to the IMO Fund, perceived by some as a de facto global tax with sovereignty and equity implications.</w:t>
      </w:r>
      <w:bookmarkStart w:id="20" w:name="fnref6"/>
      <w:bookmarkEnd w:id="20"/>
      <w:r w:rsidR="00CD2B24" w:rsidRPr="00737825">
        <w:rPr>
          <w:rFonts w:ascii="Times New Roman" w:hAnsi="Times New Roman" w:cs="Times New Roman"/>
          <w:sz w:val="22"/>
        </w:rPr>
        <w:t xml:space="preserve"> </w:t>
      </w:r>
    </w:p>
    <w:p w14:paraId="3A3CF565" w14:textId="19A87B16"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authors outline the main criticisms: that the framework risks increasing costs for consumers and industry, penalizes transition fuels like LNG and biofuels, could raise food and transport prices for SIDS without guaranteeing fair fund access, and relies on a GFI threshold for zero/near‑zero fuels that is too stringent given current supply/infrastructure constraints. They also highlight projections that penalties could reach USD 300 billion by 2035, with disproportionate impacts on SMEs and tramp operators, and note concerns that the system functions more as a penalty mechanism than an innovation incentive, especially given expiring surplus units and unresolved elements (reward mechanism, default LCA values, fund governance).</w:t>
      </w:r>
      <w:bookmarkStart w:id="21" w:name="fnref6_1"/>
      <w:bookmarkEnd w:id="21"/>
      <w:r w:rsidRPr="00737825">
        <w:rPr>
          <w:rFonts w:ascii="Times New Roman" w:hAnsi="Times New Roman" w:cs="Times New Roman"/>
          <w:sz w:val="22"/>
        </w:rPr>
        <w:fldChar w:fldCharType="begin"/>
      </w:r>
      <w:r w:rsidRPr="00737825">
        <w:rPr>
          <w:rFonts w:ascii="Times New Roman" w:hAnsi="Times New Roman" w:cs="Times New Roman"/>
          <w:sz w:val="22"/>
        </w:rPr>
        <w:instrText>HYPERLINK \l "fn6" \h</w:instrText>
      </w:r>
      <w:r w:rsidRPr="00737825">
        <w:rPr>
          <w:rFonts w:ascii="Times New Roman" w:hAnsi="Times New Roman" w:cs="Times New Roman"/>
          <w:sz w:val="22"/>
        </w:rPr>
      </w:r>
      <w:r w:rsidRPr="00737825">
        <w:rPr>
          <w:rFonts w:ascii="Times New Roman" w:hAnsi="Times New Roman" w:cs="Times New Roman"/>
          <w:sz w:val="22"/>
        </w:rPr>
        <w:fldChar w:fldCharType="separate"/>
      </w:r>
      <w:r w:rsidRPr="00737825">
        <w:rPr>
          <w:rFonts w:ascii="Times New Roman" w:hAnsi="Times New Roman" w:cs="Times New Roman"/>
          <w:sz w:val="22"/>
        </w:rPr>
        <w:fldChar w:fldCharType="end"/>
      </w:r>
    </w:p>
    <w:p w14:paraId="4F9EFEE1" w14:textId="1D671D31"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 xml:space="preserve">In response, they propose a new concept where the Global Fuel Intensity (GFI) trajectory is recalculated periodically based on fuels that meet three “commercial viability” criteria: affordability (≤15% cost premium over standard marine fuels), availability (≥5% global marine market share and robust geographical/port coverage, with ≤2,500 nm between bunkering points along major routes), and scalability (demonstrated through contracts and growth projections, with minimum market‑share and CAGR thresholds). Only fuels passing these filters would be used to set the GFI trajectory. The paper defines GFIMax as the market‑share </w:t>
      </w:r>
      <w:r w:rsidRPr="00737825">
        <w:rPr>
          <w:rFonts w:ascii="Times New Roman" w:eastAsia="Georgia" w:hAnsi="Times New Roman" w:cs="Times New Roman"/>
          <w:color w:val="000000"/>
          <w:sz w:val="22"/>
        </w:rPr>
        <w:lastRenderedPageBreak/>
        <w:t>weighted average well‑to‑wake intensity of all commercially viable fuels and GFIMin as the lowest such intensity among them, then prescribes a linear 30‑year reduction in the GFI target from GFIMax towards GFI</w:t>
      </w:r>
      <w:r w:rsidRPr="00737825">
        <w:rPr>
          <w:rFonts w:ascii="Times New Roman" w:eastAsia="Georgia" w:hAnsi="Times New Roman" w:cs="Times New Roman"/>
          <w:color w:val="000000"/>
          <w:sz w:val="22"/>
          <w:vertAlign w:val="subscript"/>
        </w:rPr>
        <w:t>Min</w:t>
      </w:r>
      <w:r w:rsidRPr="00737825">
        <w:rPr>
          <w:rFonts w:ascii="Times New Roman" w:eastAsia="Georgia" w:hAnsi="Times New Roman" w:cs="Times New Roman"/>
          <w:color w:val="000000"/>
          <w:sz w:val="22"/>
        </w:rPr>
        <w:t xml:space="preserve"> with annual decrement </w:t>
      </w:r>
      <m:oMath>
        <m:sSub>
          <m:sSubPr>
            <m:ctrlPr>
              <w:rPr>
                <w:rFonts w:ascii="Cambria Math" w:hAnsi="Cambria Math" w:cs="Times New Roman"/>
                <w:color w:val="000000"/>
                <w:sz w:val="22"/>
              </w:rPr>
            </m:ctrlPr>
          </m:sSubPr>
          <m:e>
            <m:r>
              <w:rPr>
                <w:rFonts w:ascii="Cambria Math" w:hAnsi="Cambria Math" w:cs="Times New Roman"/>
                <w:color w:val="000000"/>
                <w:sz w:val="22"/>
              </w:rPr>
              <m:t>Z</m:t>
            </m:r>
          </m:e>
          <m:sub>
            <m:r>
              <w:rPr>
                <w:rFonts w:ascii="Cambria Math" w:hAnsi="Cambria Math" w:cs="Times New Roman"/>
                <w:color w:val="000000"/>
                <w:sz w:val="22"/>
              </w:rPr>
              <m:t>t</m:t>
            </m:r>
          </m:sub>
        </m:sSub>
        <m:r>
          <m:rPr>
            <m:sty m:val="p"/>
          </m:rPr>
          <w:rPr>
            <w:rFonts w:ascii="Cambria Math" w:hAnsi="Cambria Math" w:cs="Times New Roman"/>
            <w:color w:val="000000"/>
            <w:sz w:val="22"/>
          </w:rPr>
          <m:t>=(</m:t>
        </m:r>
        <m:r>
          <w:rPr>
            <w:rFonts w:ascii="Cambria Math" w:hAnsi="Cambria Math" w:cs="Times New Roman"/>
            <w:color w:val="000000"/>
            <w:sz w:val="22"/>
          </w:rPr>
          <m:t>GFIMax</m:t>
        </m:r>
        <m:r>
          <m:rPr>
            <m:sty m:val="p"/>
          </m:rPr>
          <w:rPr>
            <w:rFonts w:ascii="Cambria Math" w:hAnsi="Cambria Math" w:cs="Times New Roman"/>
            <w:color w:val="000000"/>
            <w:sz w:val="22"/>
          </w:rPr>
          <m:t>-</m:t>
        </m:r>
        <m:r>
          <w:rPr>
            <w:rFonts w:ascii="Cambria Math" w:hAnsi="Cambria Math" w:cs="Times New Roman"/>
            <w:color w:val="000000"/>
            <w:sz w:val="22"/>
          </w:rPr>
          <m:t>GFIMin</m:t>
        </m:r>
        <m:r>
          <m:rPr>
            <m:sty m:val="p"/>
          </m:rPr>
          <w:rPr>
            <w:rFonts w:ascii="Cambria Math" w:hAnsi="Cambria Math" w:cs="Times New Roman"/>
            <w:color w:val="000000"/>
            <w:sz w:val="22"/>
          </w:rPr>
          <m:t>)/30</m:t>
        </m:r>
      </m:oMath>
      <w:r w:rsidRPr="00737825">
        <w:rPr>
          <w:rFonts w:ascii="Times New Roman" w:eastAsia="Georgia" w:hAnsi="Times New Roman" w:cs="Times New Roman"/>
          <w:color w:val="000000"/>
          <w:sz w:val="22"/>
        </w:rPr>
        <w:t>.</w:t>
      </w:r>
      <w:bookmarkStart w:id="22" w:name="fnref6_2"/>
      <w:bookmarkEnd w:id="22"/>
      <w:r w:rsidR="00CD2B24" w:rsidRPr="00737825">
        <w:rPr>
          <w:rFonts w:ascii="Times New Roman" w:hAnsi="Times New Roman" w:cs="Times New Roman"/>
          <w:sz w:val="22"/>
        </w:rPr>
        <w:t xml:space="preserve"> </w:t>
      </w:r>
    </w:p>
    <w:p w14:paraId="21A4D9C1" w14:textId="3206E456"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 xml:space="preserve">The target annual GFI in year </w:t>
      </w:r>
      <m:oMath>
        <m:r>
          <w:rPr>
            <w:rFonts w:ascii="Cambria Math" w:hAnsi="Cambria Math" w:cs="Times New Roman"/>
            <w:color w:val="000000"/>
            <w:sz w:val="22"/>
          </w:rPr>
          <m:t>t</m:t>
        </m:r>
      </m:oMath>
      <w:r w:rsidRPr="00737825">
        <w:rPr>
          <w:rFonts w:ascii="Times New Roman" w:eastAsia="Georgia" w:hAnsi="Times New Roman" w:cs="Times New Roman"/>
          <w:color w:val="000000"/>
          <w:sz w:val="22"/>
        </w:rPr>
        <w:t xml:space="preserve"> is given as </w:t>
      </w:r>
      <m:oMath>
        <m:r>
          <w:rPr>
            <w:rFonts w:ascii="Cambria Math" w:hAnsi="Cambria Math" w:cs="Times New Roman"/>
            <w:color w:val="000000"/>
            <w:sz w:val="22"/>
          </w:rPr>
          <m:t>GF</m:t>
        </m:r>
        <m:sSub>
          <m:sSubPr>
            <m:ctrlPr>
              <w:rPr>
                <w:rFonts w:ascii="Cambria Math" w:hAnsi="Cambria Math" w:cs="Times New Roman"/>
                <w:color w:val="000000"/>
                <w:sz w:val="22"/>
              </w:rPr>
            </m:ctrlPr>
          </m:sSubPr>
          <m:e>
            <m:r>
              <w:rPr>
                <w:rFonts w:ascii="Cambria Math" w:hAnsi="Cambria Math" w:cs="Times New Roman"/>
                <w:color w:val="000000"/>
                <w:sz w:val="22"/>
              </w:rPr>
              <m:t>I</m:t>
            </m:r>
          </m:e>
          <m:sub>
            <m:r>
              <w:rPr>
                <w:rFonts w:ascii="Cambria Math" w:hAnsi="Cambria Math" w:cs="Times New Roman"/>
                <w:color w:val="000000"/>
                <w:sz w:val="22"/>
              </w:rPr>
              <m:t>Max</m:t>
            </m:r>
          </m:sub>
        </m:sSub>
        <m:r>
          <m:rPr>
            <m:sty m:val="p"/>
          </m:rPr>
          <w:rPr>
            <w:rFonts w:ascii="Cambria Math" w:hAnsi="Cambria Math" w:cs="Times New Roman"/>
            <w:color w:val="000000"/>
            <w:sz w:val="22"/>
          </w:rPr>
          <m:t>-</m:t>
        </m:r>
        <m:r>
          <w:rPr>
            <w:rFonts w:ascii="Cambria Math" w:hAnsi="Cambria Math" w:cs="Times New Roman"/>
            <w:color w:val="000000"/>
            <w:sz w:val="22"/>
          </w:rPr>
          <m:t>t</m:t>
        </m:r>
        <m:r>
          <m:rPr>
            <m:sty m:val="p"/>
          </m:rPr>
          <w:rPr>
            <w:rFonts w:ascii="Cambria Math" w:hAnsi="Cambria Math" w:cs="Times New Roman"/>
            <w:color w:val="000000"/>
            <w:sz w:val="22"/>
          </w:rPr>
          <m:t>⋅</m:t>
        </m:r>
        <m:sSub>
          <m:sSubPr>
            <m:ctrlPr>
              <w:rPr>
                <w:rFonts w:ascii="Cambria Math" w:hAnsi="Cambria Math" w:cs="Times New Roman"/>
                <w:color w:val="000000"/>
                <w:sz w:val="22"/>
              </w:rPr>
            </m:ctrlPr>
          </m:sSubPr>
          <m:e>
            <m:r>
              <w:rPr>
                <w:rFonts w:ascii="Cambria Math" w:hAnsi="Cambria Math" w:cs="Times New Roman"/>
                <w:color w:val="000000"/>
                <w:sz w:val="22"/>
              </w:rPr>
              <m:t>Z</m:t>
            </m:r>
          </m:e>
          <m:sub>
            <m:r>
              <w:rPr>
                <w:rFonts w:ascii="Cambria Math" w:hAnsi="Cambria Math" w:cs="Times New Roman"/>
                <w:color w:val="000000"/>
                <w:sz w:val="22"/>
              </w:rPr>
              <m:t>t</m:t>
            </m:r>
          </m:sub>
        </m:sSub>
      </m:oMath>
      <w:r w:rsidRPr="00737825">
        <w:rPr>
          <w:rFonts w:ascii="Times New Roman" w:eastAsia="Georgia" w:hAnsi="Times New Roman" w:cs="Times New Roman"/>
          <w:color w:val="000000"/>
          <w:sz w:val="22"/>
        </w:rPr>
        <w:t>, producing a predictable, stable decarbonization path grounded in actual fuel uptake rather than fixed end‑state ambitions. The trajectory is to be reviewed every five years: if new fuels become commercially viable or cost/availability/scalability conditions improve, GFI</w:t>
      </w:r>
      <w:r w:rsidR="004A7A7F">
        <w:rPr>
          <w:rFonts w:ascii="Times New Roman" w:eastAsia="Georgia" w:hAnsi="Times New Roman" w:cs="Times New Roman"/>
          <w:color w:val="000000"/>
          <w:sz w:val="22"/>
        </w:rPr>
        <w:t xml:space="preserve"> </w:t>
      </w:r>
      <w:r w:rsidRPr="004A7A7F">
        <w:rPr>
          <w:rFonts w:ascii="Times New Roman" w:eastAsia="Georgia" w:hAnsi="Times New Roman" w:cs="Times New Roman"/>
          <w:color w:val="000000"/>
          <w:sz w:val="22"/>
          <w:vertAlign w:val="subscript"/>
        </w:rPr>
        <w:t>Ma</w:t>
      </w:r>
      <w:r w:rsidRPr="004A7A7F">
        <w:rPr>
          <w:rFonts w:ascii="Times New Roman" w:eastAsia="Georgia" w:hAnsi="Times New Roman" w:cs="Times New Roman"/>
          <w:color w:val="000000"/>
          <w:sz w:val="16"/>
          <w:szCs w:val="16"/>
          <w:vertAlign w:val="subscript"/>
        </w:rPr>
        <w:t>x</w:t>
      </w:r>
      <w:r w:rsidRPr="00737825">
        <w:rPr>
          <w:rFonts w:ascii="Times New Roman" w:eastAsia="Georgia" w:hAnsi="Times New Roman" w:cs="Times New Roman"/>
          <w:color w:val="000000"/>
          <w:sz w:val="16"/>
          <w:szCs w:val="16"/>
        </w:rPr>
        <w:t xml:space="preserve"> </w:t>
      </w:r>
      <w:r w:rsidRPr="00737825">
        <w:rPr>
          <w:rFonts w:ascii="Times New Roman" w:eastAsia="Georgia" w:hAnsi="Times New Roman" w:cs="Times New Roman"/>
          <w:color w:val="000000"/>
          <w:sz w:val="22"/>
        </w:rPr>
        <w:t>and GFI</w:t>
      </w:r>
      <w:r w:rsidR="00737825" w:rsidRPr="004A7A7F">
        <w:rPr>
          <w:rFonts w:ascii="Times New Roman" w:eastAsia="Georgia" w:hAnsi="Times New Roman" w:cs="Times New Roman"/>
          <w:color w:val="000000"/>
          <w:sz w:val="22"/>
          <w:vertAlign w:val="subscript"/>
        </w:rPr>
        <w:t>Min</w:t>
      </w:r>
      <w:r w:rsidRPr="00737825">
        <w:rPr>
          <w:rFonts w:ascii="Times New Roman" w:eastAsia="Georgia" w:hAnsi="Times New Roman" w:cs="Times New Roman"/>
          <w:color w:val="000000"/>
          <w:sz w:val="22"/>
        </w:rPr>
        <w:t xml:space="preserve"> are recalculated and a new 30‑year trajectory is set, preserving stability while aligning ambition with market reality.</w:t>
      </w:r>
      <w:bookmarkStart w:id="23" w:name="fnref6_3"/>
      <w:bookmarkEnd w:id="23"/>
      <w:r w:rsidR="00CD2B24" w:rsidRPr="00737825">
        <w:rPr>
          <w:rFonts w:ascii="Times New Roman" w:hAnsi="Times New Roman" w:cs="Times New Roman"/>
          <w:sz w:val="22"/>
        </w:rPr>
        <w:t xml:space="preserve"> </w:t>
      </w:r>
    </w:p>
    <w:p w14:paraId="4C4276B0" w14:textId="3190CF99"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proposal includes a flexibility mechanism via surplus units (SUs), generated by ships outperfor</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g the target GFI and tradable via an IMO GFI Registry, with provisions for banking and limited one‑year borrowing to smooth compliance while preventing long‑term over‑reliance on future reductions. Notably, it explicitly rejects creation of an IMO‑managed fund or revenue‑collection mechanism, stating that any market‑stability adjustments should be achieved by adjusting regulatory parameters (e.g. trajectory, borrowing rules) rather than through financial intervention by IMO. The aim is to provide a predictable, market‑responsive, technology‑neutral system that incentivizes continuous improvement and uptake of innovations like onboard carbon capture and wind‑assisted propulsion, without the political baggage of a central fund.</w:t>
      </w:r>
      <w:bookmarkStart w:id="24" w:name="fnref6_4"/>
      <w:bookmarkEnd w:id="24"/>
      <w:r w:rsidR="00CD2B24" w:rsidRPr="00737825">
        <w:rPr>
          <w:rFonts w:ascii="Times New Roman" w:hAnsi="Times New Roman" w:cs="Times New Roman"/>
          <w:sz w:val="22"/>
        </w:rPr>
        <w:t xml:space="preserve"> </w:t>
      </w:r>
    </w:p>
    <w:p w14:paraId="4572275F" w14:textId="77777777" w:rsidR="00363CDA" w:rsidRPr="00737825" w:rsidRDefault="00000000" w:rsidP="00737825">
      <w:pPr>
        <w:spacing w:before="315" w:after="0" w:line="360" w:lineRule="auto"/>
        <w:ind w:left="-30"/>
        <w:jc w:val="both"/>
        <w:rPr>
          <w:rFonts w:ascii="Times New Roman" w:hAnsi="Times New Roman" w:cs="Times New Roman"/>
          <w:sz w:val="22"/>
        </w:rPr>
      </w:pPr>
      <w:bookmarkStart w:id="25" w:name="mepc_84_7_41_united_states"/>
      <w:r w:rsidRPr="00737825">
        <w:rPr>
          <w:rFonts w:ascii="Times New Roman" w:eastAsia="Georgia" w:hAnsi="Times New Roman" w:cs="Times New Roman"/>
          <w:b/>
          <w:color w:val="000000"/>
          <w:sz w:val="22"/>
        </w:rPr>
        <w:t>MEPC 84/7/41 – United States</w:t>
      </w:r>
      <w:bookmarkEnd w:id="25"/>
    </w:p>
    <w:p w14:paraId="475D403A" w14:textId="097406B2"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This submission comments on MEPC 84/7/30 and sets out U.S. policy positions for any future global regulation on shipping GHGs, while calling for the IMO Net‑Zero Framework to be dropped entirely and for MEPC/ES.2 not to be resumed. The United States argues that the previously proposed Net‑Zero amendments to MARPOL Annex VI would have “dire economic consequences” for shipping, energy producers, and consumers, by pushing expensive, unproven, and unavailable fuels and by turning IMO into a de facto global climate bank via the Net‑Zero Fund. It contends that recipients would receive relatively little compared to the wider economic hardship created and that the framework would under</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e reliability and stability of global supply chains.</w:t>
      </w:r>
      <w:bookmarkStart w:id="26" w:name="fnref7"/>
      <w:bookmarkEnd w:id="26"/>
      <w:r w:rsidR="00CD2B24" w:rsidRPr="00737825">
        <w:rPr>
          <w:rFonts w:ascii="Times New Roman" w:hAnsi="Times New Roman" w:cs="Times New Roman"/>
          <w:sz w:val="22"/>
        </w:rPr>
        <w:t xml:space="preserve"> </w:t>
      </w:r>
    </w:p>
    <w:p w14:paraId="5F75CD4E" w14:textId="619690AF"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paper recalls the deep divisions at MEPC/ES.2 and notes the proliferation of alternative proposals, concluding that there is a clear lack of consensus for the Net‑Zero Framework and that it would be counterproductive to keep pursuing its adoption. The U.S. therefore proposes formally ending consideration of the framework and not resu</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g MEPC/ES.2, arguing that MEPC 84 has the procedural authority to decide its work programme and that the original time‑line for entry into force (March 2027) is now unattainable under MARPOL Article 16 anyway</w:t>
      </w:r>
      <w:r w:rsidR="00CD2B24" w:rsidRPr="00737825">
        <w:rPr>
          <w:rFonts w:ascii="Times New Roman" w:eastAsia="Georgia" w:hAnsi="Times New Roman" w:cs="Times New Roman"/>
          <w:color w:val="000000"/>
          <w:sz w:val="22"/>
        </w:rPr>
        <w:t>.</w:t>
      </w:r>
    </w:p>
    <w:p w14:paraId="45521A2E" w14:textId="15C5B309"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It then lists core policy guidelines for any alternative approach. First, there should be “no economic element”: no global financial penalty, carbon tax, levy, or IMO‑ad</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 xml:space="preserve">istered fund raised from shipping emissions, as the U.S. will oppose any such instrument. Second, there should be no penalties or limits on any fuel types; </w:t>
      </w:r>
      <w:r w:rsidRPr="00737825">
        <w:rPr>
          <w:rFonts w:ascii="Times New Roman" w:eastAsia="Georgia" w:hAnsi="Times New Roman" w:cs="Times New Roman"/>
          <w:color w:val="000000"/>
          <w:sz w:val="22"/>
        </w:rPr>
        <w:lastRenderedPageBreak/>
        <w:t>the approach should be “energy‑all”, accepting conventional fossil fuels, LNG, nuclear, biomass‑based fuels, and other technologies without picking winners and losers. Third, proposals must ensure reliability for the existing fleet and avoid disruption to trade, including by eli</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ating penalties on LNG and recognizing biofuels as viable marine fuels while supporting industry‑led innovation</w:t>
      </w:r>
      <w:r w:rsidR="00CD2B24" w:rsidRPr="00737825">
        <w:rPr>
          <w:rFonts w:ascii="Times New Roman" w:eastAsia="Georgia" w:hAnsi="Times New Roman" w:cs="Times New Roman"/>
          <w:color w:val="000000"/>
          <w:sz w:val="22"/>
        </w:rPr>
        <w:t>.</w:t>
      </w:r>
    </w:p>
    <w:p w14:paraId="79C31F50" w14:textId="485B37A5"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Fourth, any future global regime should require mandatory withdrawal/phase‑out of existing regional schemes, explicitly including the EU ETS for shipping, to avoid a duplicative web of frameworks and added cost layers. Fifth, any global GHG regulation should use the explicit acceptance procedure for entry into force, given its significance, rather than tacit acceptance. The paper concludes that MEPC 84 should recognize that continuing to chase adoption of the current framework is not a constructive use of time, decide not to resume MEPC/ES.2, and instead devote effort to new proposals aligned with these policy principles, which the U.S. characterizes as a pragmatic, market‑oriented approach emphasizing energy abundance, technological neutrality, and economic viability</w:t>
      </w:r>
      <w:r w:rsidR="00CD2B24" w:rsidRPr="00737825">
        <w:rPr>
          <w:rFonts w:ascii="Times New Roman" w:eastAsia="Georgia" w:hAnsi="Times New Roman" w:cs="Times New Roman"/>
          <w:color w:val="000000"/>
          <w:sz w:val="22"/>
        </w:rPr>
        <w:t>.</w:t>
      </w:r>
    </w:p>
    <w:p w14:paraId="71DDA1BA" w14:textId="77777777" w:rsidR="00363CDA" w:rsidRPr="00737825" w:rsidRDefault="00000000" w:rsidP="00CD2B24">
      <w:pPr>
        <w:spacing w:before="315" w:after="105" w:line="360" w:lineRule="auto"/>
        <w:ind w:left="-30"/>
        <w:jc w:val="both"/>
        <w:rPr>
          <w:rFonts w:ascii="Times New Roman" w:hAnsi="Times New Roman" w:cs="Times New Roman"/>
          <w:sz w:val="22"/>
        </w:rPr>
      </w:pPr>
      <w:bookmarkStart w:id="27" w:name="mepc_84_7_49_japan"/>
      <w:r w:rsidRPr="00737825">
        <w:rPr>
          <w:rFonts w:ascii="Times New Roman" w:eastAsia="Georgia" w:hAnsi="Times New Roman" w:cs="Times New Roman"/>
          <w:b/>
          <w:color w:val="000000"/>
          <w:sz w:val="22"/>
        </w:rPr>
        <w:t>MEPC 84/7/49 – Japan</w:t>
      </w:r>
      <w:bookmarkEnd w:id="27"/>
    </w:p>
    <w:p w14:paraId="5E9247B7" w14:textId="7A456021"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Japan’s paper comments on MEPC 84/7/14 (Secretariat) and seeks middle‑ground options to address the concerns that blocked adoption of the Net‑Zero Framework at MEPC/ES.2, particularly fears of a “global carbon tax” and the stringency/structure of GFI targets. It starts by summarizing the current draft: ships must calculate attained annual GFI, and depending on whether they are within Tier 1 (between direct compliance target and base target) or Tier 2 (above base target), they must balance deficits using remedial units (RUs) and/or surplus units (SUs), with contributions flowing to the IMO Net‑Zero Fund under certain conditions.</w:t>
      </w:r>
      <w:bookmarkStart w:id="28" w:name="fnref8"/>
      <w:bookmarkEnd w:id="28"/>
      <w:r w:rsidR="00CD2B24" w:rsidRPr="00737825">
        <w:rPr>
          <w:rFonts w:ascii="Times New Roman" w:hAnsi="Times New Roman" w:cs="Times New Roman"/>
          <w:sz w:val="22"/>
        </w:rPr>
        <w:t xml:space="preserve"> </w:t>
      </w:r>
    </w:p>
    <w:p w14:paraId="2CD62E18" w14:textId="022E5E72"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Japan notes that some states support the current draft while others demand fundamental change, citing two main concerns: (1) that the scheme operates as a de facto global carbon tax and fund beyond IMO’s technical remit, and (2) that the base and direct compliance targets effectively eli</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ate the use of certain alternatives like LNG, given realistic global fuel supply/capacity constraints. While reaffir</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g its respect for the compromise embodied in the approved draft and recognizing that it was supported by a majority at MEPC 83, Japan argues that the 12‑month adjournment should be used to explore options, without prejudging preferences, that could bridge these gaps and move towards consensus.</w:t>
      </w:r>
      <w:bookmarkStart w:id="29" w:name="fnref8_1"/>
      <w:bookmarkEnd w:id="29"/>
      <w:r w:rsidR="00CD2B24" w:rsidRPr="00737825">
        <w:rPr>
          <w:rFonts w:ascii="Times New Roman" w:hAnsi="Times New Roman" w:cs="Times New Roman"/>
          <w:sz w:val="22"/>
        </w:rPr>
        <w:t xml:space="preserve"> </w:t>
      </w:r>
    </w:p>
    <w:p w14:paraId="2FB316CD" w14:textId="57C93A4B" w:rsidR="00363CDA" w:rsidRPr="00737825" w:rsidRDefault="00000000" w:rsidP="00D11361">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The first option is to modify the design so that Tier 1 deficits can be balanced with SUs, not only via mandatory contributions to the Fund, thereby eli</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ating obligatory payments to the IMO Net‑Zero Fund for ships that miss the direct target but still lie above the base target; a figure illustrates how this would remove the “global carbon tax” perception while preserving market‑based flexibility. The second option is to revise the base and direct compliance targets themselves, taking into account updated 2024 data on transport demand and assu</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 xml:space="preserve">g additional energy‑efficiency improvements post‑2031, so that the trajectory </w:t>
      </w:r>
      <w:r w:rsidRPr="00737825">
        <w:rPr>
          <w:rFonts w:ascii="Times New Roman" w:eastAsia="Georgia" w:hAnsi="Times New Roman" w:cs="Times New Roman"/>
          <w:color w:val="000000"/>
          <w:sz w:val="22"/>
        </w:rPr>
        <w:lastRenderedPageBreak/>
        <w:t>still aligns with the 2023 Strategy’s indicative checkpoints but eases the pace of change and early replacement pressures on industry.</w:t>
      </w:r>
      <w:bookmarkStart w:id="30" w:name="fnref8_2"/>
      <w:bookmarkEnd w:id="30"/>
      <w:r w:rsidR="00CD2B24" w:rsidRPr="00737825">
        <w:rPr>
          <w:rFonts w:ascii="Times New Roman" w:hAnsi="Times New Roman" w:cs="Times New Roman"/>
          <w:sz w:val="22"/>
        </w:rPr>
        <w:t xml:space="preserve"> </w:t>
      </w:r>
    </w:p>
    <w:p w14:paraId="047E8646" w14:textId="705D0C6B" w:rsidR="00363CDA" w:rsidRPr="00737825" w:rsidRDefault="00000000" w:rsidP="00737825">
      <w:pPr>
        <w:spacing w:after="0" w:line="360" w:lineRule="auto"/>
        <w:jc w:val="both"/>
        <w:rPr>
          <w:rFonts w:ascii="Times New Roman" w:hAnsi="Times New Roman" w:cs="Times New Roman"/>
          <w:sz w:val="22"/>
        </w:rPr>
      </w:pPr>
      <w:r w:rsidRPr="00737825">
        <w:rPr>
          <w:rFonts w:ascii="Times New Roman" w:eastAsia="Georgia" w:hAnsi="Times New Roman" w:cs="Times New Roman"/>
          <w:color w:val="000000"/>
          <w:sz w:val="22"/>
        </w:rPr>
        <w:t>Japan proposes specific target‑revisions (sketched in conceptual figures), including potentially holding the direct compliance target constant for 2028–2035 to support stronger early incentives while maintaining foreseeable compliance requirements. It also emphasizes the need for technology‑neutral assessment of all fuels, including fossil fuels, and argues that default WtW GFI values for LNG and others should be based on up‑to‑date scientific evidence incorporating improvements such as CCS at gas extraction, in line with the 2024 LCA Guidelines.</w:t>
      </w:r>
      <w:bookmarkStart w:id="31" w:name="fnref8_3"/>
      <w:bookmarkEnd w:id="31"/>
      <w:r w:rsidR="00CD2B24" w:rsidRPr="00737825">
        <w:rPr>
          <w:rFonts w:ascii="Times New Roman" w:hAnsi="Times New Roman" w:cs="Times New Roman"/>
          <w:sz w:val="22"/>
        </w:rPr>
        <w:t xml:space="preserve"> </w:t>
      </w:r>
    </w:p>
    <w:p w14:paraId="04F1F011" w14:textId="4BDC8234" w:rsidR="00363CDA" w:rsidRPr="00D11361" w:rsidRDefault="00000000" w:rsidP="00737825">
      <w:pPr>
        <w:spacing w:after="0" w:line="360" w:lineRule="auto"/>
        <w:jc w:val="both"/>
        <w:rPr>
          <w:sz w:val="22"/>
        </w:rPr>
      </w:pPr>
      <w:r w:rsidRPr="00737825">
        <w:rPr>
          <w:rFonts w:ascii="Times New Roman" w:eastAsia="Georgia" w:hAnsi="Times New Roman" w:cs="Times New Roman"/>
          <w:color w:val="000000"/>
          <w:sz w:val="22"/>
        </w:rPr>
        <w:t>Recognizing that reliance solely on SUs creates a risk that non‑compliant ships might be unable to find adequate units, Japan suggests additional mechanisms: for example, allowing donations to approved maritime projects as an alternative compliance path, or adjusting the total SU volume (e.g. through a factor that increases unit supply annually) to secure market balance. The paper does not endorse any single option but presents them as potential elements of a “landing zone” for the Committee to consider, ai</w:t>
      </w:r>
      <w:r w:rsidR="00737825">
        <w:rPr>
          <w:rFonts w:ascii="Times New Roman" w:eastAsia="Georgia" w:hAnsi="Times New Roman" w:cs="Times New Roman"/>
          <w:color w:val="000000"/>
          <w:sz w:val="22"/>
        </w:rPr>
        <w:t>Min</w:t>
      </w:r>
      <w:r w:rsidRPr="00737825">
        <w:rPr>
          <w:rFonts w:ascii="Times New Roman" w:eastAsia="Georgia" w:hAnsi="Times New Roman" w:cs="Times New Roman"/>
          <w:color w:val="000000"/>
          <w:sz w:val="22"/>
        </w:rPr>
        <w:t xml:space="preserve">g to keep the framework recognizably aligned with what was agreed at MEPC 83 while addressing core objections that stalled </w:t>
      </w:r>
      <w:r w:rsidRPr="00D11361">
        <w:rPr>
          <w:rFonts w:eastAsia="Georgia" w:hAnsi="Georgia" w:cs="Georgia"/>
          <w:color w:val="000000"/>
          <w:sz w:val="22"/>
        </w:rPr>
        <w:t>adoption.</w:t>
      </w:r>
      <w:bookmarkStart w:id="32" w:name="fnref8_4"/>
      <w:bookmarkEnd w:id="32"/>
      <w:r w:rsidR="00CD2B24" w:rsidRPr="00D11361">
        <w:rPr>
          <w:sz w:val="22"/>
        </w:rPr>
        <w:t xml:space="preserve"> </w:t>
      </w:r>
    </w:p>
    <w:sectPr w:rsidR="00363CDA" w:rsidRPr="00D11361">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Math">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87601"/>
    <w:multiLevelType w:val="hybridMultilevel"/>
    <w:tmpl w:val="AEB289E8"/>
    <w:lvl w:ilvl="0" w:tplc="E8E2C116">
      <w:start w:val="1"/>
      <w:numFmt w:val="decimal"/>
      <w:lvlText w:val="%1."/>
      <w:lvlJc w:val="left"/>
      <w:pPr>
        <w:tabs>
          <w:tab w:val="num" w:pos="900"/>
        </w:tabs>
        <w:ind w:left="540" w:hanging="360"/>
      </w:pPr>
    </w:lvl>
    <w:lvl w:ilvl="1" w:tplc="EA5EB90E">
      <w:numFmt w:val="decimal"/>
      <w:lvlText w:val=""/>
      <w:lvlJc w:val="left"/>
    </w:lvl>
    <w:lvl w:ilvl="2" w:tplc="D08ACF64">
      <w:numFmt w:val="decimal"/>
      <w:lvlText w:val=""/>
      <w:lvlJc w:val="left"/>
    </w:lvl>
    <w:lvl w:ilvl="3" w:tplc="AB3CB31C">
      <w:numFmt w:val="decimal"/>
      <w:lvlText w:val=""/>
      <w:lvlJc w:val="left"/>
    </w:lvl>
    <w:lvl w:ilvl="4" w:tplc="B6A44794">
      <w:numFmt w:val="decimal"/>
      <w:lvlText w:val=""/>
      <w:lvlJc w:val="left"/>
    </w:lvl>
    <w:lvl w:ilvl="5" w:tplc="54548E30">
      <w:numFmt w:val="decimal"/>
      <w:lvlText w:val=""/>
      <w:lvlJc w:val="left"/>
    </w:lvl>
    <w:lvl w:ilvl="6" w:tplc="3D3A5BD0">
      <w:numFmt w:val="decimal"/>
      <w:lvlText w:val=""/>
      <w:lvlJc w:val="left"/>
    </w:lvl>
    <w:lvl w:ilvl="7" w:tplc="C4D84F64">
      <w:numFmt w:val="decimal"/>
      <w:lvlText w:val=""/>
      <w:lvlJc w:val="left"/>
    </w:lvl>
    <w:lvl w:ilvl="8" w:tplc="43D2479E">
      <w:numFmt w:val="decimal"/>
      <w:lvlText w:val=""/>
      <w:lvlJc w:val="left"/>
    </w:lvl>
  </w:abstractNum>
  <w:abstractNum w:abstractNumId="1" w15:restartNumberingAfterBreak="0">
    <w:nsid w:val="4C366DC8"/>
    <w:multiLevelType w:val="hybridMultilevel"/>
    <w:tmpl w:val="73B440AA"/>
    <w:lvl w:ilvl="0" w:tplc="2C1A7064">
      <w:numFmt w:val="decimal"/>
      <w:lvlText w:val=""/>
      <w:lvlJc w:val="left"/>
    </w:lvl>
    <w:lvl w:ilvl="1" w:tplc="0FA47C20">
      <w:numFmt w:val="decimal"/>
      <w:lvlText w:val=""/>
      <w:lvlJc w:val="left"/>
    </w:lvl>
    <w:lvl w:ilvl="2" w:tplc="4566BA8A">
      <w:numFmt w:val="decimal"/>
      <w:lvlText w:val=""/>
      <w:lvlJc w:val="left"/>
    </w:lvl>
    <w:lvl w:ilvl="3" w:tplc="B6CE9D3C">
      <w:numFmt w:val="decimal"/>
      <w:lvlText w:val=""/>
      <w:lvlJc w:val="left"/>
    </w:lvl>
    <w:lvl w:ilvl="4" w:tplc="9C6EB042">
      <w:numFmt w:val="decimal"/>
      <w:lvlText w:val=""/>
      <w:lvlJc w:val="left"/>
    </w:lvl>
    <w:lvl w:ilvl="5" w:tplc="76DC698A">
      <w:numFmt w:val="decimal"/>
      <w:lvlText w:val=""/>
      <w:lvlJc w:val="left"/>
    </w:lvl>
    <w:lvl w:ilvl="6" w:tplc="39361F14">
      <w:numFmt w:val="decimal"/>
      <w:lvlText w:val=""/>
      <w:lvlJc w:val="left"/>
    </w:lvl>
    <w:lvl w:ilvl="7" w:tplc="8C8203FC">
      <w:numFmt w:val="decimal"/>
      <w:lvlText w:val=""/>
      <w:lvlJc w:val="left"/>
    </w:lvl>
    <w:lvl w:ilvl="8" w:tplc="468E10C4">
      <w:numFmt w:val="decimal"/>
      <w:lvlText w:val=""/>
      <w:lvlJc w:val="left"/>
    </w:lvl>
  </w:abstractNum>
  <w:num w:numId="1" w16cid:durableId="1864585992">
    <w:abstractNumId w:val="1"/>
  </w:num>
  <w:num w:numId="2" w16cid:durableId="158737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DA"/>
    <w:rsid w:val="00363CDA"/>
    <w:rsid w:val="004A7A7F"/>
    <w:rsid w:val="00737825"/>
    <w:rsid w:val="007C0556"/>
    <w:rsid w:val="00CD2B24"/>
    <w:rsid w:val="00D1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D0EE"/>
  <w15:docId w15:val="{1CE08982-1060-4710-B05B-AC2B6B14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Bureau Veritas</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JOHN KOKARAKIS</cp:lastModifiedBy>
  <cp:revision>2</cp:revision>
  <dcterms:created xsi:type="dcterms:W3CDTF">2026-04-16T09:21:00Z</dcterms:created>
  <dcterms:modified xsi:type="dcterms:W3CDTF">2026-04-16T09:21:00Z</dcterms:modified>
</cp:coreProperties>
</file>